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center"/>
        <w:rPr/>
      </w:pPr>
      <w:r w:rsidDel="00000000" w:rsidR="00000000" w:rsidRPr="00000000">
        <w:rPr>
          <w:b w:val="1"/>
          <w:bCs w:val="1"/>
          <w:sz w:val="32"/>
          <w:szCs w:val="32"/>
          <w:rtl w:val="0"/>
        </w:rPr>
        <w:t xml:space="preserve">IICSR Certified Sustainability &amp; Compliance Mastertrack</w:t>
      </w:r>
      <w:r w:rsidDel="00000000" w:rsidR="00000000" w:rsidRPr="00000000">
        <w:rPr>
          <w:rtl w:val="0"/>
        </w:rPr>
      </w:r>
    </w:p>
    <w:p w:rsidR="00000000" w:rsidDel="00000000" w:rsidP="00000000" w:rsidRDefault="00000000" w:rsidRPr="00000000" w14:paraId="00000002">
      <w:pPr>
        <w:spacing w:after="240" w:lineRule="auto"/>
        <w:jc w:val="center"/>
        <w:rPr/>
      </w:pPr>
      <w:r w:rsidDel="00000000" w:rsidR="00000000" w:rsidRPr="00000000">
        <w:rPr>
          <w:i w:val="1"/>
          <w:iCs w:val="1"/>
          <w:sz w:val="28"/>
          <w:szCs w:val="28"/>
          <w:rtl w:val="0"/>
        </w:rPr>
        <w:t xml:space="preserve">India &amp; EU Focus</w:t>
      </w:r>
      <w:r w:rsidDel="00000000" w:rsidR="00000000" w:rsidRPr="00000000">
        <w:rPr>
          <w:rtl w:val="0"/>
        </w:rPr>
      </w:r>
    </w:p>
    <w:p w:rsidR="00000000" w:rsidDel="00000000" w:rsidP="00000000" w:rsidRDefault="00000000" w:rsidRPr="00000000" w14:paraId="00000003">
      <w:pPr>
        <w:spacing w:after="360" w:lineRule="auto"/>
        <w:jc w:val="center"/>
        <w:rPr/>
      </w:pPr>
      <w:sdt>
        <w:sdtPr>
          <w:id w:val="-2013582969"/>
          <w:tag w:val="goog_rdk_0"/>
        </w:sdtPr>
        <w:sdtContent>
          <w:r w:rsidDel="00000000" w:rsidR="00000000" w:rsidRPr="00000000">
            <w:rPr>
              <w:rFonts w:ascii="Arial Unicode MS" w:cs="Arial Unicode MS" w:eastAsia="Arial Unicode MS" w:hAnsi="Arial Unicode MS"/>
              <w:i w:val="1"/>
              <w:iCs w:val="1"/>
              <w:rtl w:val="0"/>
            </w:rPr>
            <w:t xml:space="preserve">Program Specification — 2 hours/week × 12 weeks (≈24 contact hours)</w:t>
          </w:r>
        </w:sdtContent>
      </w:sdt>
      <w:r w:rsidDel="00000000" w:rsidR="00000000" w:rsidRPr="00000000">
        <w:rPr>
          <w:rtl w:val="0"/>
        </w:rPr>
      </w:r>
    </w:p>
    <w:p w:rsidR="00000000" w:rsidDel="00000000" w:rsidP="00000000" w:rsidRDefault="00000000" w:rsidRPr="00000000" w14:paraId="00000004">
      <w:pPr>
        <w:pStyle w:val="Heading1"/>
        <w:rPr/>
      </w:pPr>
      <w:r w:rsidDel="00000000" w:rsidR="00000000" w:rsidRPr="00000000">
        <w:rPr>
          <w:rtl w:val="0"/>
        </w:rPr>
        <w:t xml:space="preserve">Course Concept</w:t>
      </w:r>
    </w:p>
    <w:p w:rsidR="00000000" w:rsidDel="00000000" w:rsidP="00000000" w:rsidRDefault="00000000" w:rsidRPr="00000000" w14:paraId="00000005">
      <w:pPr>
        <w:spacing w:after="120" w:lineRule="auto"/>
        <w:rPr/>
      </w:pPr>
      <w:r w:rsidDel="00000000" w:rsidR="00000000" w:rsidRPr="00000000">
        <w:rPr>
          <w:rtl w:val="0"/>
        </w:rPr>
        <w:t xml:space="preserve">A comprehensive India and EU-focused program that transforms ESG and sustainability regulations into operational compliance frameworks. Participants master the legal and governance dimensions of CSR, BRSR, EU CSRD, and ESG reporting while building practical toolkits for board-level compliance planning.</w:t>
      </w:r>
    </w:p>
    <w:p w:rsidR="00000000" w:rsidDel="00000000" w:rsidP="00000000" w:rsidRDefault="00000000" w:rsidRPr="00000000" w14:paraId="00000006">
      <w:pPr>
        <w:spacing w:after="240" w:lineRule="auto"/>
        <w:rPr/>
      </w:pPr>
      <w:r w:rsidDel="00000000" w:rsidR="00000000" w:rsidRPr="00000000">
        <w:rPr>
          <w:rtl w:val="0"/>
        </w:rPr>
        <w:t xml:space="preserve">This program emphasizes legal frameworks, regulatory compliance, corporate governance, and ESG disclosure requirements across Indian and European jurisdictions. Participants develop ready-to-deploy compliance policies, governance structures, and board-ready strategic plans.</w:t>
      </w:r>
    </w:p>
    <w:p w:rsidR="00000000" w:rsidDel="00000000" w:rsidP="00000000" w:rsidRDefault="00000000" w:rsidRPr="00000000" w14:paraId="00000007">
      <w:pPr>
        <w:pStyle w:val="Heading1"/>
        <w:rPr/>
      </w:pPr>
      <w:r w:rsidDel="00000000" w:rsidR="00000000" w:rsidRPr="00000000">
        <w:rPr>
          <w:rtl w:val="0"/>
        </w:rPr>
        <w:t xml:space="preserve">Target Audience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Primary: Chief Sustainability Officers, ESG Heads, Legal &amp; Compliance Officers, Company Secretaries, Board Members</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Secondary: Finance Controllers, Internal Audit, Investor Relations, Corporate Affairs, Governance Professionals</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Ideal Profile: Indian companies with EU operations or reporting obligations; EU companies with Indian subsidiaries or supply chains; Listed companies subject to SEBI/BSE/NSE regulations</w:t>
      </w:r>
    </w:p>
    <w:p w:rsidR="00000000" w:rsidDel="00000000" w:rsidP="00000000" w:rsidRDefault="00000000" w:rsidRPr="00000000" w14:paraId="0000000B">
      <w:pPr>
        <w:spacing w:after="240" w:lineRule="auto"/>
        <w:rPr/>
      </w:pPr>
      <w:r w:rsidDel="00000000" w:rsidR="00000000" w:rsidRPr="00000000">
        <w:rPr>
          <w:rtl w:val="0"/>
        </w:rPr>
      </w:r>
    </w:p>
    <w:p w:rsidR="00000000" w:rsidDel="00000000" w:rsidP="00000000" w:rsidRDefault="00000000" w:rsidRPr="00000000" w14:paraId="0000000C">
      <w:pPr>
        <w:pStyle w:val="Heading1"/>
        <w:rPr/>
      </w:pPr>
      <w:r w:rsidDel="00000000" w:rsidR="00000000" w:rsidRPr="00000000">
        <w:rPr>
          <w:rtl w:val="0"/>
        </w:rPr>
        <w:t xml:space="preserve">Entry Requirements</w:t>
      </w:r>
    </w:p>
    <w:p w:rsidR="00000000" w:rsidDel="00000000" w:rsidP="00000000" w:rsidRDefault="00000000" w:rsidRPr="00000000" w14:paraId="0000000D">
      <w:pPr>
        <w:spacing w:after="240" w:lineRule="auto"/>
        <w:rPr/>
      </w:pPr>
      <w:r w:rsidDel="00000000" w:rsidR="00000000" w:rsidRPr="00000000">
        <w:rPr>
          <w:rtl w:val="0"/>
        </w:rPr>
        <w:t xml:space="preserve">Corporate experience in legal, compliance, sustainability, or governance roles. Understanding of corporate reporting structures is beneficial. No technical background required.</w:t>
      </w:r>
    </w:p>
    <w:p w:rsidR="00000000" w:rsidDel="00000000" w:rsidP="00000000" w:rsidRDefault="00000000" w:rsidRPr="00000000" w14:paraId="0000000E">
      <w:pPr>
        <w:pStyle w:val="Heading1"/>
        <w:rPr/>
      </w:pPr>
      <w:r w:rsidDel="00000000" w:rsidR="00000000" w:rsidRPr="00000000">
        <w:rPr>
          <w:rtl w:val="0"/>
        </w:rPr>
        <w:t xml:space="preserve">Learning Outcomes</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Design and implement compliant CSR programs under Companies Act, 2013 (Section 135) with governance frameworks, policy documentation, and board oversight mechanisms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 BRSR and BRSR Core disclosure frameworks with evidence registers suitable for limited assurance and regulatory scrutiny</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Navigate EU Corporate Sustainability Reporting Directive (CSRD) and European Sustainability Reporting Standards (ESRS) requirements including double materiality assessments</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Establish governance structures for sustainability compliance including board committees, management systems, and internal controls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Understand Extended Producer Responsibility (EPR) legal obligations and plastic waste management rules in India</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Navigate India’s Carbon Credit Trading Scheme (CCTS) and participate in domestic carbon markets for emissions reduction compliance</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Comply with EU Carbon Border Adjustment Mechanism (CBAM) requirements for Indian exporters in carbon-intensive sectors</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Implement IFRS S1 and S2 (ISSB) disclosure frameworks for sustainability-related financial information</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Create board-ready compliance roadmaps with legal risk assessments, timelines, and governance milestones</w:t>
      </w:r>
    </w:p>
    <w:p w:rsidR="00000000" w:rsidDel="00000000" w:rsidP="00000000" w:rsidRDefault="00000000" w:rsidRPr="00000000" w14:paraId="00000018">
      <w:pPr>
        <w:spacing w:after="240" w:lineRule="auto"/>
        <w:rPr/>
      </w:pPr>
      <w:r w:rsidDel="00000000" w:rsidR="00000000" w:rsidRPr="00000000">
        <w:rPr>
          <w:rtl w:val="0"/>
        </w:rPr>
      </w:r>
    </w:p>
    <w:p w:rsidR="00000000" w:rsidDel="00000000" w:rsidP="00000000" w:rsidRDefault="00000000" w:rsidRPr="00000000" w14:paraId="00000019">
      <w:pPr>
        <w:pStyle w:val="Heading1"/>
        <w:rPr/>
      </w:pPr>
      <w:r w:rsidDel="00000000" w:rsidR="00000000" w:rsidRPr="00000000">
        <w:rPr>
          <w:rtl w:val="0"/>
        </w:rPr>
        <w:t xml:space="preserve">Program Objectives (SMART)</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 8+ regulatory compliance toolkits (CSR policy frameworks, BRSR evidence registers, ESRS datapoint mappings, EPR compliance calendars, CCTS carbon trading frameworks, CBAM compliance toolkits, governance charters) by Week 10</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Assess regulatory knowledge through 8 compliance assessments and 3 graded projects (minimum 75% to pass)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Complete a cross-jurisdictional compliance evidence register integrating Indian and EU requirements by Week 10</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Achieve audit-ready status on India or EU compliance framework by Week 11</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Present a board-approved compliance strategy and implementation roadmap by Week 12</w:t>
      </w:r>
    </w:p>
    <w:p w:rsidR="00000000" w:rsidDel="00000000" w:rsidP="00000000" w:rsidRDefault="00000000" w:rsidRPr="00000000" w14:paraId="0000001F">
      <w:pPr>
        <w:spacing w:after="240" w:lineRule="auto"/>
        <w:rPr/>
      </w:pPr>
      <w:r w:rsidDel="00000000" w:rsidR="00000000" w:rsidRPr="00000000">
        <w:rPr>
          <w:rtl w:val="0"/>
        </w:rPr>
      </w:r>
    </w:p>
    <w:p w:rsidR="00000000" w:rsidDel="00000000" w:rsidP="00000000" w:rsidRDefault="00000000" w:rsidRPr="00000000" w14:paraId="00000020">
      <w:pPr>
        <w:pStyle w:val="Heading1"/>
        <w:rPr/>
      </w:pPr>
      <w:r w:rsidDel="00000000" w:rsidR="00000000" w:rsidRPr="00000000">
        <w:rPr>
          <w:rtl w:val="0"/>
        </w:rPr>
        <w:t xml:space="preserve">Workload &amp; Credentials</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Duration: 4 hours/week × 12 weeks (48 contact hours)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Additional Effort: 6-8 hours per week for assignments and capstone project</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Credential: IICSR Certified Sustainability &amp; Compliance Professional (India-EU Specialist)</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Digital Badges: India CSR &amp; BRSR Specialist, EU CSRD Expert, ESG Governance Professional, Compliance Assurance Ready</w:t>
      </w:r>
    </w:p>
    <w:p w:rsidR="00000000" w:rsidDel="00000000" w:rsidP="00000000" w:rsidRDefault="00000000" w:rsidRPr="00000000" w14:paraId="00000025">
      <w:pPr>
        <w:spacing w:after="360" w:lineRule="auto"/>
        <w:rPr/>
      </w:pPr>
      <w:r w:rsidDel="00000000" w:rsidR="00000000" w:rsidRPr="00000000">
        <w:rPr>
          <w:rtl w:val="0"/>
        </w:rPr>
      </w:r>
    </w:p>
    <w:p w:rsidR="00000000" w:rsidDel="00000000" w:rsidP="00000000" w:rsidRDefault="00000000" w:rsidRPr="00000000" w14:paraId="00000026">
      <w:pPr>
        <w:pStyle w:val="Heading1"/>
        <w:rPr/>
      </w:pPr>
      <w:r w:rsidDel="00000000" w:rsidR="00000000" w:rsidRPr="00000000">
        <w:rPr>
          <w:rtl w:val="0"/>
        </w:rPr>
        <w:t xml:space="preserve">Week-by-Week Curriculum</w:t>
      </w:r>
    </w:p>
    <w:p w:rsidR="00000000" w:rsidDel="00000000" w:rsidP="00000000" w:rsidRDefault="00000000" w:rsidRPr="00000000" w14:paraId="00000027">
      <w:pPr>
        <w:pStyle w:val="Heading2"/>
        <w:rPr/>
      </w:pPr>
      <w:r w:rsidDel="00000000" w:rsidR="00000000" w:rsidRPr="00000000">
        <w:rPr>
          <w:rtl w:val="0"/>
        </w:rPr>
        <w:t xml:space="preserve">Week 1 — ESG Foundations &amp; Global Regulatory Landscape</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ESG principles, materiality concepts, and stakeholder governance</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Overview of India and EU sustainability regulatory frameworks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Introduction to IFRS S1 and S2 (ISSB Standards) for sustainability disclosure</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Corporate governance and board oversight for ESG compliance</w:t>
      </w:r>
    </w:p>
    <w:p w:rsidR="00000000" w:rsidDel="00000000" w:rsidP="00000000" w:rsidRDefault="00000000" w:rsidRPr="00000000" w14:paraId="0000002C">
      <w:pPr>
        <w:spacing w:after="240" w:lineRule="auto"/>
        <w:rPr/>
      </w:pPr>
      <w:r w:rsidDel="00000000" w:rsidR="00000000" w:rsidRPr="00000000">
        <w:rPr>
          <w:b w:val="1"/>
          <w:bCs w:val="1"/>
          <w:i w:val="1"/>
          <w:iCs w:val="1"/>
          <w:rtl w:val="0"/>
        </w:rPr>
        <w:t xml:space="preserve">Assessment 1</w:t>
      </w:r>
      <w:r w:rsidDel="00000000" w:rsidR="00000000" w:rsidRPr="00000000">
        <w:rPr>
          <w:rtl w:val="0"/>
        </w:rPr>
      </w:r>
    </w:p>
    <w:p w:rsidR="00000000" w:rsidDel="00000000" w:rsidP="00000000" w:rsidRDefault="00000000" w:rsidRPr="00000000" w14:paraId="0000002D">
      <w:pPr>
        <w:pStyle w:val="Heading2"/>
        <w:rPr/>
      </w:pPr>
      <w:r w:rsidDel="00000000" w:rsidR="00000000" w:rsidRPr="00000000">
        <w:rPr>
          <w:rtl w:val="0"/>
        </w:rPr>
        <w:t xml:space="preserve">Week 2 — India CSR Legal Framework (Companies Act, 2013)</w:t>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Section 135: Applicability thresholds, CSR Committee constitution, and legal obligations</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CSR Policy requirements, Schedule VII activities, and permissible spend categories</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spending mandate, administrative cost caps, and ongoing project rules</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Penalties, disclosure obligations, and Board Report requirements</w:t>
      </w:r>
    </w:p>
    <w:p w:rsidR="00000000" w:rsidDel="00000000" w:rsidP="00000000" w:rsidRDefault="00000000" w:rsidRPr="00000000" w14:paraId="00000032">
      <w:pPr>
        <w:spacing w:before="80" w:lineRule="auto"/>
        <w:rPr/>
      </w:pPr>
      <w:r w:rsidDel="00000000" w:rsidR="00000000" w:rsidRPr="00000000">
        <w:rPr>
          <w:b w:val="1"/>
          <w:bCs w:val="1"/>
          <w:rtl w:val="0"/>
        </w:rPr>
        <w:t xml:space="preserve">Project 1: </w:t>
      </w:r>
      <w:r w:rsidDel="00000000" w:rsidR="00000000" w:rsidRPr="00000000">
        <w:rPr>
          <w:rtl w:val="0"/>
        </w:rPr>
        <w:t xml:space="preserve">Draft CSR Policy, Committee Terms of Reference, and spend calculation framework</w:t>
      </w:r>
    </w:p>
    <w:p w:rsidR="00000000" w:rsidDel="00000000" w:rsidP="00000000" w:rsidRDefault="00000000" w:rsidRPr="00000000" w14:paraId="00000033">
      <w:pPr>
        <w:spacing w:after="240" w:lineRule="auto"/>
        <w:rPr/>
      </w:pPr>
      <w:r w:rsidDel="00000000" w:rsidR="00000000" w:rsidRPr="00000000">
        <w:rPr>
          <w:b w:val="1"/>
          <w:bCs w:val="1"/>
          <w:i w:val="1"/>
          <w:iCs w:val="1"/>
          <w:rtl w:val="0"/>
        </w:rPr>
        <w:t xml:space="preserve">Assessment 2</w:t>
      </w:r>
      <w:r w:rsidDel="00000000" w:rsidR="00000000" w:rsidRPr="00000000">
        <w:rPr>
          <w:rtl w:val="0"/>
        </w:rPr>
      </w:r>
    </w:p>
    <w:p w:rsidR="00000000" w:rsidDel="00000000" w:rsidP="00000000" w:rsidRDefault="00000000" w:rsidRPr="00000000" w14:paraId="00000034">
      <w:pPr>
        <w:pStyle w:val="Heading2"/>
        <w:rPr/>
      </w:pPr>
      <w:r w:rsidDel="00000000" w:rsidR="00000000" w:rsidRPr="00000000">
        <w:rPr>
          <w:rtl w:val="0"/>
        </w:rPr>
        <w:t xml:space="preserve">Week 3 — India CSR Implementation &amp; Governance</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Implementing agency selection, due diligence, and monitoring frameworks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Impact assessment requirements and reporting protocols</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Documentation standards, audit trails, and internal controls</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Board oversight, quarterly reviews, and website disclosure compliance</w:t>
      </w:r>
    </w:p>
    <w:p w:rsidR="00000000" w:rsidDel="00000000" w:rsidP="00000000" w:rsidRDefault="00000000" w:rsidRPr="00000000" w14:paraId="00000039">
      <w:pPr>
        <w:spacing w:after="240" w:lineRule="auto"/>
        <w:rPr/>
      </w:pPr>
      <w:r w:rsidDel="00000000" w:rsidR="00000000" w:rsidRPr="00000000">
        <w:rPr>
          <w:b w:val="1"/>
          <w:bCs w:val="1"/>
          <w:i w:val="1"/>
          <w:iCs w:val="1"/>
          <w:rtl w:val="0"/>
        </w:rPr>
        <w:t xml:space="preserve">Assessment 3</w:t>
      </w:r>
      <w:r w:rsidDel="00000000" w:rsidR="00000000" w:rsidRPr="00000000">
        <w:rPr>
          <w:rtl w:val="0"/>
        </w:rPr>
      </w:r>
    </w:p>
    <w:p w:rsidR="00000000" w:rsidDel="00000000" w:rsidP="00000000" w:rsidRDefault="00000000" w:rsidRPr="00000000" w14:paraId="0000003A">
      <w:pPr>
        <w:pStyle w:val="Heading2"/>
        <w:rPr/>
      </w:pPr>
      <w:r w:rsidDel="00000000" w:rsidR="00000000" w:rsidRPr="00000000">
        <w:rPr>
          <w:rtl w:val="0"/>
        </w:rPr>
        <w:t xml:space="preserve">Week 4 — India BRSR (Business Responsibility &amp; Sustainability Reporting)</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SEBI mandates for top 1000 listed companies: Legal basis and timeline</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BRSR framework structure: Nine principles and disclosure requirements</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BRSR Core: Essential indicators and reasonable assurance requirements</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Value chain data collection, evidence management, and control frameworks</w:t>
      </w:r>
    </w:p>
    <w:p w:rsidR="00000000" w:rsidDel="00000000" w:rsidP="00000000" w:rsidRDefault="00000000" w:rsidRPr="00000000" w14:paraId="0000003F">
      <w:pPr>
        <w:spacing w:before="80" w:lineRule="auto"/>
        <w:rPr/>
      </w:pPr>
      <w:r w:rsidDel="00000000" w:rsidR="00000000" w:rsidRPr="00000000">
        <w:rPr>
          <w:b w:val="1"/>
          <w:bCs w:val="1"/>
          <w:rtl w:val="0"/>
        </w:rPr>
        <w:t xml:space="preserve">Project 2: </w:t>
      </w:r>
      <w:r w:rsidDel="00000000" w:rsidR="00000000" w:rsidRPr="00000000">
        <w:rPr>
          <w:rtl w:val="0"/>
        </w:rPr>
        <w:t xml:space="preserve">BRSR Core Evidence Register with sampling methodology and control matrix</w:t>
      </w:r>
    </w:p>
    <w:p w:rsidR="00000000" w:rsidDel="00000000" w:rsidP="00000000" w:rsidRDefault="00000000" w:rsidRPr="00000000" w14:paraId="00000040">
      <w:pPr>
        <w:spacing w:after="240" w:lineRule="auto"/>
        <w:rPr/>
      </w:pPr>
      <w:r w:rsidDel="00000000" w:rsidR="00000000" w:rsidRPr="00000000">
        <w:rPr>
          <w:b w:val="1"/>
          <w:bCs w:val="1"/>
          <w:i w:val="1"/>
          <w:iCs w:val="1"/>
          <w:rtl w:val="0"/>
        </w:rPr>
        <w:t xml:space="preserve">Assessment 4</w:t>
      </w:r>
      <w:r w:rsidDel="00000000" w:rsidR="00000000" w:rsidRPr="00000000">
        <w:rPr>
          <w:rtl w:val="0"/>
        </w:rPr>
      </w:r>
    </w:p>
    <w:p w:rsidR="00000000" w:rsidDel="00000000" w:rsidP="00000000" w:rsidRDefault="00000000" w:rsidRPr="00000000" w14:paraId="00000041">
      <w:pPr>
        <w:pStyle w:val="Heading2"/>
        <w:rPr/>
      </w:pPr>
      <w:r w:rsidDel="00000000" w:rsidR="00000000" w:rsidRPr="00000000">
        <w:rPr>
          <w:rtl w:val="0"/>
        </w:rPr>
        <w:t xml:space="preserve">Week 5 — India EPR, Environmental Compliance &amp; Carbon Trading (CCTS)</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Extended Producer Responsibility (EPR) regulations: E-waste, plastic waste, and battery waste</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Plastic Waste Management Rules, 2016 and amendments: Compliance obligations</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Registration requirements, target compliance, and certificate management on CPCB portal</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Producer responsibility organizations (PROs) and vendor documentation</w:t>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India’s Carbon Credit Trading Scheme (CCTS): Regulatory framework and trading mechanisms under the Energy Conservation (Amendment) Act, 2022</w:t>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Obligated entities, compliance obligations, and carbon credit generation mechanisms</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Registration with Bureau of Energy Efficiency (BEE), emission monitoring, reporting, and verification (MRV) requirements</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Trading strategies, offset mechanisms, and integration with Perform, Achieve and Trade (PAT) scheme</w:t>
      </w:r>
    </w:p>
    <w:p w:rsidR="00000000" w:rsidDel="00000000" w:rsidP="00000000" w:rsidRDefault="00000000" w:rsidRPr="00000000" w14:paraId="0000004A">
      <w:pPr>
        <w:spacing w:after="240" w:lineRule="auto"/>
        <w:rPr/>
      </w:pPr>
      <w:r w:rsidDel="00000000" w:rsidR="00000000" w:rsidRPr="00000000">
        <w:rPr>
          <w:b w:val="1"/>
          <w:bCs w:val="1"/>
          <w:i w:val="1"/>
          <w:iCs w:val="1"/>
          <w:rtl w:val="0"/>
        </w:rPr>
        <w:t xml:space="preserve">Assessment 5</w:t>
      </w:r>
      <w:r w:rsidDel="00000000" w:rsidR="00000000" w:rsidRPr="00000000">
        <w:rPr>
          <w:rtl w:val="0"/>
        </w:rPr>
      </w:r>
    </w:p>
    <w:p w:rsidR="00000000" w:rsidDel="00000000" w:rsidP="00000000" w:rsidRDefault="00000000" w:rsidRPr="00000000" w14:paraId="0000004B">
      <w:pPr>
        <w:pStyle w:val="Heading2"/>
        <w:rPr/>
      </w:pPr>
      <w:r w:rsidDel="00000000" w:rsidR="00000000" w:rsidRPr="00000000">
        <w:rPr>
          <w:rtl w:val="0"/>
        </w:rPr>
        <w:t xml:space="preserve">Week 6 — EU Corporate Sustainability Reporting Directive (CSRD)</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CSRD scope: Applicable entities, phased timelines (2024-2028), and extraterritorial reach</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European Sustainability Reporting Standards (ESRS): Cross-cutting and topical standards</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Legal requirements for directors, management reports, and audit obligations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Voluntary vs. mandatory application and proportionality principles for SMEs</w:t>
      </w:r>
    </w:p>
    <w:p w:rsidR="00000000" w:rsidDel="00000000" w:rsidP="00000000" w:rsidRDefault="00000000" w:rsidRPr="00000000" w14:paraId="00000050">
      <w:pPr>
        <w:spacing w:after="240" w:lineRule="auto"/>
        <w:rPr/>
      </w:pPr>
      <w:r w:rsidDel="00000000" w:rsidR="00000000" w:rsidRPr="00000000">
        <w:rPr>
          <w:b w:val="1"/>
          <w:bCs w:val="1"/>
          <w:i w:val="1"/>
          <w:iCs w:val="1"/>
          <w:rtl w:val="0"/>
        </w:rPr>
        <w:t xml:space="preserve">Assessment 6</w:t>
      </w:r>
      <w:r w:rsidDel="00000000" w:rsidR="00000000" w:rsidRPr="00000000">
        <w:rPr>
          <w:rtl w:val="0"/>
        </w:rPr>
      </w:r>
    </w:p>
    <w:p w:rsidR="00000000" w:rsidDel="00000000" w:rsidP="00000000" w:rsidRDefault="00000000" w:rsidRPr="00000000" w14:paraId="00000051">
      <w:pPr>
        <w:pStyle w:val="Heading2"/>
        <w:rPr/>
      </w:pPr>
      <w:r w:rsidDel="00000000" w:rsidR="00000000" w:rsidRPr="00000000">
        <w:rPr>
          <w:rtl w:val="0"/>
        </w:rPr>
        <w:t xml:space="preserve">Week 7 — EU ESRS Deep Dive &amp; Double Materiality</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Double materiality assessment: Impact materiality and financial materiality</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ESRS datapoint inventory: Mandatory vs. voluntary disclosure requirements</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Stakeholder engagement requirements and value chain considerations</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Digital taxonomy for machine-readable reporting (XBRL/iXBRL)</w:t>
      </w:r>
    </w:p>
    <w:p w:rsidR="00000000" w:rsidDel="00000000" w:rsidP="00000000" w:rsidRDefault="00000000" w:rsidRPr="00000000" w14:paraId="00000056">
      <w:pPr>
        <w:spacing w:before="80" w:lineRule="auto"/>
        <w:rPr/>
      </w:pPr>
      <w:r w:rsidDel="00000000" w:rsidR="00000000" w:rsidRPr="00000000">
        <w:rPr>
          <w:b w:val="1"/>
          <w:bCs w:val="1"/>
          <w:rtl w:val="0"/>
        </w:rPr>
        <w:t xml:space="preserve">Project 3: </w:t>
      </w:r>
      <w:r w:rsidDel="00000000" w:rsidR="00000000" w:rsidRPr="00000000">
        <w:rPr>
          <w:rtl w:val="0"/>
        </w:rPr>
        <w:t xml:space="preserve">Double materiality assessment canvas and ESRS datapoint gap analysis</w:t>
      </w:r>
    </w:p>
    <w:p w:rsidR="00000000" w:rsidDel="00000000" w:rsidP="00000000" w:rsidRDefault="00000000" w:rsidRPr="00000000" w14:paraId="00000057">
      <w:pPr>
        <w:spacing w:after="240" w:lineRule="auto"/>
        <w:rPr/>
      </w:pPr>
      <w:r w:rsidDel="00000000" w:rsidR="00000000" w:rsidRPr="00000000">
        <w:rPr>
          <w:b w:val="1"/>
          <w:bCs w:val="1"/>
          <w:i w:val="1"/>
          <w:iCs w:val="1"/>
          <w:rtl w:val="0"/>
        </w:rPr>
        <w:t xml:space="preserve">Assessment 7</w:t>
      </w:r>
      <w:r w:rsidDel="00000000" w:rsidR="00000000" w:rsidRPr="00000000">
        <w:rPr>
          <w:rtl w:val="0"/>
        </w:rPr>
      </w:r>
    </w:p>
    <w:p w:rsidR="00000000" w:rsidDel="00000000" w:rsidP="00000000" w:rsidRDefault="00000000" w:rsidRPr="00000000" w14:paraId="00000058">
      <w:pPr>
        <w:pStyle w:val="Heading2"/>
        <w:rPr/>
      </w:pPr>
      <w:r w:rsidDel="00000000" w:rsidR="00000000" w:rsidRPr="00000000">
        <w:rPr>
          <w:rtl w:val="0"/>
        </w:rPr>
        <w:t xml:space="preserve">Week 8 — EU Taxonomy, SFDR &amp; CBAM for Indian Exporters</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EU Taxonomy Regulation: Six environmental objectives and technical screening criteria</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Eligibility vs. alignment determination and KPI disclosure requirements</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Sustainable Finance Disclosure Regulation (SFDR) and investor reporting implications</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Corporate Sustainability Due Diligence Directive (CSDDD/CS3D) overview</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Carbon Border Adjustment Mechanism (CBAM): Scope, covered sectors (steel, cement, aluminum, fertilizers, electricity, hydrogen), and phase-in timeline</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CBAM compliance obligations for Indian exporters: Quarterly reporting, embedded emissions calculations, and CBAM certificate requirements</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Transitional phase (2023-2025) vs. definitive regime (2026 onwards): Reporting requirements and financial implications</w:t>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Embedded emissions methodology: Default values vs. verified actual emissions, precursor materials, and indirect emissions treatment</w:t>
      </w:r>
    </w:p>
    <w:p w:rsidR="00000000" w:rsidDel="00000000" w:rsidP="00000000" w:rsidRDefault="00000000" w:rsidRPr="00000000" w14:paraId="000000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CBAM Transitional Registry registration, authorized declarants, and importer coordination strategies</w:t>
      </w:r>
    </w:p>
    <w:p w:rsidR="00000000" w:rsidDel="00000000" w:rsidP="00000000" w:rsidRDefault="00000000" w:rsidRPr="00000000" w14:paraId="00000062">
      <w:pPr>
        <w:spacing w:after="240" w:lineRule="auto"/>
        <w:rPr/>
      </w:pPr>
      <w:r w:rsidDel="00000000" w:rsidR="00000000" w:rsidRPr="00000000">
        <w:rPr>
          <w:b w:val="1"/>
          <w:bCs w:val="1"/>
          <w:i w:val="1"/>
          <w:iCs w:val="1"/>
          <w:rtl w:val="0"/>
        </w:rPr>
        <w:t xml:space="preserve">Assessment 8</w:t>
      </w:r>
      <w:r w:rsidDel="00000000" w:rsidR="00000000" w:rsidRPr="00000000">
        <w:rPr>
          <w:rtl w:val="0"/>
        </w:rPr>
      </w:r>
    </w:p>
    <w:p w:rsidR="00000000" w:rsidDel="00000000" w:rsidP="00000000" w:rsidRDefault="00000000" w:rsidRPr="00000000" w14:paraId="00000063">
      <w:pPr>
        <w:pStyle w:val="Heading2"/>
        <w:rPr/>
      </w:pPr>
      <w:r w:rsidDel="00000000" w:rsidR="00000000" w:rsidRPr="00000000">
        <w:rPr>
          <w:rtl w:val="0"/>
        </w:rPr>
        <w:t xml:space="preserve">Week 9 — Cross-Jurisdictional Compliance &amp; Assurance Frameworks</w:t>
      </w:r>
    </w:p>
    <w:p w:rsidR="00000000" w:rsidDel="00000000" w:rsidP="00000000" w:rsidRDefault="00000000" w:rsidRPr="00000000" w14:paraId="0000006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Harmonizing India and EU compliance requirements: Common frameworks and divergences</w:t>
      </w:r>
    </w:p>
    <w:p w:rsidR="00000000" w:rsidDel="00000000" w:rsidP="00000000" w:rsidRDefault="00000000" w:rsidRPr="00000000" w14:paraId="0000006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Limited vs. reasonable assurance: Standards, scope, and auditor requirements</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Evidence management systems, internal controls, and audit trail documentation</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Third-party verification and certification processes</w:t>
      </w:r>
    </w:p>
    <w:p w:rsidR="00000000" w:rsidDel="00000000" w:rsidP="00000000" w:rsidRDefault="00000000" w:rsidRPr="00000000" w14:paraId="00000068">
      <w:pPr>
        <w:spacing w:before="80" w:lineRule="auto"/>
        <w:rPr/>
      </w:pPr>
      <w:r w:rsidDel="00000000" w:rsidR="00000000" w:rsidRPr="00000000">
        <w:rPr>
          <w:b w:val="1"/>
          <w:bCs w:val="1"/>
          <w:rtl w:val="0"/>
        </w:rPr>
        <w:t xml:space="preserve">Deliverable: </w:t>
      </w:r>
      <w:r w:rsidDel="00000000" w:rsidR="00000000" w:rsidRPr="00000000">
        <w:rPr>
          <w:rtl w:val="0"/>
        </w:rPr>
        <w:t xml:space="preserve">Integrated India-EU compliance control matrix and evidence register</w:t>
      </w:r>
    </w:p>
    <w:p w:rsidR="00000000" w:rsidDel="00000000" w:rsidP="00000000" w:rsidRDefault="00000000" w:rsidRPr="00000000" w14:paraId="00000069">
      <w:pPr>
        <w:spacing w:after="240" w:lineRule="auto"/>
        <w:rPr/>
      </w:pPr>
      <w:r w:rsidDel="00000000" w:rsidR="00000000" w:rsidRPr="00000000">
        <w:rPr>
          <w:rtl w:val="0"/>
        </w:rPr>
      </w:r>
    </w:p>
    <w:p w:rsidR="00000000" w:rsidDel="00000000" w:rsidP="00000000" w:rsidRDefault="00000000" w:rsidRPr="00000000" w14:paraId="0000006A">
      <w:pPr>
        <w:pStyle w:val="Heading2"/>
        <w:rPr/>
      </w:pPr>
      <w:r w:rsidDel="00000000" w:rsidR="00000000" w:rsidRPr="00000000">
        <w:rPr>
          <w:rtl w:val="0"/>
        </w:rPr>
        <w:t xml:space="preserve">Week 10 — Governance, Risk &amp; Compliance (GRC) Systems</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Board-level ESG governance: Committee structures, charters, and reporting lines</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Risk assessment frameworks for sustainability compliance across jurisdictions</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Compliance calendar management: Regulatory deadlines, filing requirements, and review cycles</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Stakeholder engagement protocols: Investors, regulators, civil society, and supply chain partners</w:t>
      </w:r>
    </w:p>
    <w:p w:rsidR="00000000" w:rsidDel="00000000" w:rsidP="00000000" w:rsidRDefault="00000000" w:rsidRPr="00000000" w14:paraId="0000006F">
      <w:pPr>
        <w:spacing w:after="240" w:lineRule="auto"/>
        <w:rPr/>
      </w:pPr>
      <w:r w:rsidDel="00000000" w:rsidR="00000000" w:rsidRPr="00000000">
        <w:rPr>
          <w:rtl w:val="0"/>
        </w:rPr>
      </w:r>
    </w:p>
    <w:p w:rsidR="00000000" w:rsidDel="00000000" w:rsidP="00000000" w:rsidRDefault="00000000" w:rsidRPr="00000000" w14:paraId="00000070">
      <w:pPr>
        <w:pStyle w:val="Heading2"/>
        <w:rPr/>
      </w:pPr>
      <w:r w:rsidDel="00000000" w:rsidR="00000000" w:rsidRPr="00000000">
        <w:rPr>
          <w:rtl w:val="0"/>
        </w:rPr>
        <w:t xml:space="preserve">Week 11 — Assurance Readiness &amp; Mock Audit</w:t>
      </w:r>
    </w:p>
    <w:p w:rsidR="00000000" w:rsidDel="00000000" w:rsidP="00000000" w:rsidRDefault="00000000" w:rsidRPr="00000000" w14:paraId="0000007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Preparing for external assurance: Documentation requirements and evidence quality standards</w:t>
      </w:r>
    </w:p>
    <w:p w:rsidR="00000000" w:rsidDel="00000000" w:rsidP="00000000" w:rsidRDefault="00000000" w:rsidRPr="00000000" w14:paraId="0000007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Mock audit simulation: India BRSR Core or EU ESRS subset walkthrough</w:t>
      </w:r>
    </w:p>
    <w:p w:rsidR="00000000" w:rsidDel="00000000" w:rsidP="00000000" w:rsidRDefault="00000000" w:rsidRPr="00000000" w14:paraId="0000007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Common audit findings and remediation strategies</w:t>
      </w:r>
    </w:p>
    <w:p w:rsidR="00000000" w:rsidDel="00000000" w:rsidP="00000000" w:rsidRDefault="00000000" w:rsidRPr="00000000" w14:paraId="0000007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Auditor Q&amp;A and management response protocols</w:t>
      </w:r>
    </w:p>
    <w:p w:rsidR="00000000" w:rsidDel="00000000" w:rsidP="00000000" w:rsidRDefault="00000000" w:rsidRPr="00000000" w14:paraId="00000075">
      <w:pPr>
        <w:spacing w:before="80" w:lineRule="auto"/>
        <w:rPr/>
      </w:pPr>
      <w:r w:rsidDel="00000000" w:rsidR="00000000" w:rsidRPr="00000000">
        <w:rPr>
          <w:b w:val="1"/>
          <w:bCs w:val="1"/>
          <w:rtl w:val="0"/>
        </w:rPr>
        <w:t xml:space="preserve">Deliverable: </w:t>
      </w:r>
      <w:r w:rsidDel="00000000" w:rsidR="00000000" w:rsidRPr="00000000">
        <w:rPr>
          <w:rtl w:val="0"/>
        </w:rPr>
        <w:t xml:space="preserve">Assurance-ready evidence register (final version) with control attestations</w:t>
      </w:r>
    </w:p>
    <w:p w:rsidR="00000000" w:rsidDel="00000000" w:rsidP="00000000" w:rsidRDefault="00000000" w:rsidRPr="00000000" w14:paraId="00000076">
      <w:pPr>
        <w:spacing w:after="240" w:lineRule="auto"/>
        <w:rPr/>
      </w:pPr>
      <w:r w:rsidDel="00000000" w:rsidR="00000000" w:rsidRPr="00000000">
        <w:rPr>
          <w:rtl w:val="0"/>
        </w:rPr>
      </w:r>
    </w:p>
    <w:p w:rsidR="00000000" w:rsidDel="00000000" w:rsidP="00000000" w:rsidRDefault="00000000" w:rsidRPr="00000000" w14:paraId="00000077">
      <w:pPr>
        <w:pStyle w:val="Heading2"/>
        <w:rPr/>
      </w:pPr>
      <w:r w:rsidDel="00000000" w:rsidR="00000000" w:rsidRPr="00000000">
        <w:rPr>
          <w:rtl w:val="0"/>
        </w:rPr>
        <w:t xml:space="preserve">Week 12 — Capstone: Board-Ready Compliance Strategy</w:t>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Strategic planning workshop: Scoping, prioritization, and resource allocation</w:t>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Development of Board presentation (10-12 slides): Compliance roadmap, risk mitigation, budget, and KPIs</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Executive summary memo (2 pages): Strategic recommendations and implementation timeline</w:t>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Final presentations to review panel with peer feedback and Q&amp;A</w:t>
      </w:r>
    </w:p>
    <w:p w:rsidR="00000000" w:rsidDel="00000000" w:rsidP="00000000" w:rsidRDefault="00000000" w:rsidRPr="00000000" w14:paraId="0000007C">
      <w:pPr>
        <w:spacing w:before="80" w:lineRule="auto"/>
        <w:rPr/>
      </w:pPr>
      <w:r w:rsidDel="00000000" w:rsidR="00000000" w:rsidRPr="00000000">
        <w:rPr>
          <w:b w:val="1"/>
          <w:bCs w:val="1"/>
          <w:rtl w:val="0"/>
        </w:rPr>
        <w:t xml:space="preserve">Deliverable: </w:t>
      </w:r>
      <w:r w:rsidDel="00000000" w:rsidR="00000000" w:rsidRPr="00000000">
        <w:rPr>
          <w:rtl w:val="0"/>
        </w:rPr>
        <w:t xml:space="preserve">Board-approved Compliance Strategy with 90-day action plan</w:t>
      </w:r>
    </w:p>
    <w:p w:rsidR="00000000" w:rsidDel="00000000" w:rsidP="00000000" w:rsidRDefault="00000000" w:rsidRPr="00000000" w14:paraId="0000007D">
      <w:pPr>
        <w:spacing w:after="360" w:lineRule="auto"/>
        <w:rPr/>
      </w:pPr>
      <w:r w:rsidDel="00000000" w:rsidR="00000000" w:rsidRPr="00000000">
        <w:rPr>
          <w:rtl w:val="0"/>
        </w:rPr>
      </w:r>
    </w:p>
    <w:p w:rsidR="00000000" w:rsidDel="00000000" w:rsidP="00000000" w:rsidRDefault="00000000" w:rsidRPr="00000000" w14:paraId="0000007E">
      <w:pPr>
        <w:pStyle w:val="Heading1"/>
        <w:rPr/>
      </w:pPr>
      <w:r w:rsidDel="00000000" w:rsidR="00000000" w:rsidRPr="00000000">
        <w:rPr>
          <w:rtl w:val="0"/>
        </w:rPr>
        <w:t xml:space="preserve">Assessments &amp; Grading</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8 Compliance Assessments (best 6 counted) — 20%</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Projects (CSR Framework, BRSR Evidence Register, Double Materiality Assessment) — 45%</w:t>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Capstone (Board Presentation + Executive Memo + Defense) — 35%</w:t>
      </w:r>
    </w:p>
    <w:p w:rsidR="00000000" w:rsidDel="00000000" w:rsidP="00000000" w:rsidRDefault="00000000" w:rsidRPr="00000000" w14:paraId="0000008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Pass Requirement: 70% overall + completion of Capstone project</w:t>
      </w:r>
    </w:p>
    <w:p w:rsidR="00000000" w:rsidDel="00000000" w:rsidP="00000000" w:rsidRDefault="00000000" w:rsidRPr="00000000" w14:paraId="00000083">
      <w:pPr>
        <w:spacing w:after="240" w:lineRule="auto"/>
        <w:rPr/>
      </w:pPr>
      <w:r w:rsidDel="00000000" w:rsidR="00000000" w:rsidRPr="00000000">
        <w:rPr>
          <w:rtl w:val="0"/>
        </w:rPr>
      </w:r>
    </w:p>
    <w:p w:rsidR="00000000" w:rsidDel="00000000" w:rsidP="00000000" w:rsidRDefault="00000000" w:rsidRPr="00000000" w14:paraId="00000084">
      <w:pPr>
        <w:spacing w:after="240" w:lineRule="auto"/>
        <w:rPr/>
      </w:pPr>
      <w:r w:rsidDel="00000000" w:rsidR="00000000" w:rsidRPr="00000000">
        <w:rPr>
          <w:rtl w:val="0"/>
        </w:rPr>
      </w:r>
    </w:p>
    <w:p w:rsidR="00000000" w:rsidDel="00000000" w:rsidP="00000000" w:rsidRDefault="00000000" w:rsidRPr="00000000" w14:paraId="00000085">
      <w:pPr>
        <w:pStyle w:val="Heading1"/>
        <w:rPr/>
      </w:pPr>
      <w:r w:rsidDel="00000000" w:rsidR="00000000" w:rsidRPr="00000000">
        <w:rPr>
          <w:rtl w:val="0"/>
        </w:rPr>
        <w:t xml:space="preserve">Key Deliverables (Participant Takeaways)</w:t>
      </w:r>
    </w:p>
    <w:p w:rsidR="00000000" w:rsidDel="00000000" w:rsidP="00000000" w:rsidRDefault="00000000" w:rsidRPr="00000000" w14:paraId="0000008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CSR Policy Framework &amp; Committee Governance Charter</w:t>
      </w:r>
    </w:p>
    <w:p w:rsidR="00000000" w:rsidDel="00000000" w:rsidP="00000000" w:rsidRDefault="00000000" w:rsidRPr="00000000" w14:paraId="0000008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CSR Compliance Ledger &amp; Implementation Manual</w:t>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BRSR &amp; BRSR Core Evidence Register (assurance-ready)</w:t>
      </w:r>
    </w:p>
    <w:p w:rsidR="00000000" w:rsidDel="00000000" w:rsidP="00000000" w:rsidRDefault="00000000" w:rsidRPr="00000000" w14:paraId="0000008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EPR Compliance Calendar with vendor engagement toolkit</w:t>
      </w:r>
    </w:p>
    <w:p w:rsidR="00000000" w:rsidDel="00000000" w:rsidP="00000000" w:rsidRDefault="00000000" w:rsidRPr="00000000" w14:paraId="0000008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India CCTS Carbon Trading Strategy &amp; MRV Framework</w:t>
      </w:r>
    </w:p>
    <w:p w:rsidR="00000000" w:rsidDel="00000000" w:rsidP="00000000" w:rsidRDefault="00000000" w:rsidRPr="00000000" w14:paraId="0000008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EU CSRD/ESRS Datapoint Inventory &amp; Gap Analysis</w:t>
      </w:r>
    </w:p>
    <w:p w:rsidR="00000000" w:rsidDel="00000000" w:rsidP="00000000" w:rsidRDefault="00000000" w:rsidRPr="00000000" w14:paraId="0000008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Double Materiality Assessment Canvas</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EU Taxonomy Alignment Checklist</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CBAM Compliance Toolkit for Indian Exporters (Embedded Emissions Calculator &amp; Quarterly Reporting Templates)</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Integrated India-EU Compliance Control Matrix</w:t>
      </w:r>
    </w:p>
    <w:p w:rsidR="00000000" w:rsidDel="00000000" w:rsidP="00000000" w:rsidRDefault="00000000" w:rsidRPr="00000000" w14:paraId="0000009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GRC Framework with Governance Calendar (RACI)</w:t>
      </w:r>
    </w:p>
    <w:p w:rsidR="00000000" w:rsidDel="00000000" w:rsidP="00000000" w:rsidRDefault="00000000" w:rsidRPr="00000000" w14:paraId="0000009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Board-Ready Compliance Strategy + Executive Memo</w:t>
      </w:r>
    </w:p>
    <w:p w:rsidR="00000000" w:rsidDel="00000000" w:rsidP="00000000" w:rsidRDefault="00000000" w:rsidRPr="00000000" w14:paraId="00000092">
      <w:pPr>
        <w:spacing w:after="360" w:lineRule="auto"/>
        <w:rPr/>
      </w:pPr>
      <w:r w:rsidDel="00000000" w:rsidR="00000000" w:rsidRPr="00000000">
        <w:rPr>
          <w:rtl w:val="0"/>
        </w:rPr>
      </w:r>
    </w:p>
    <w:p w:rsidR="00000000" w:rsidDel="00000000" w:rsidP="00000000" w:rsidRDefault="00000000" w:rsidRPr="00000000" w14:paraId="00000093">
      <w:pPr>
        <w:pStyle w:val="Heading1"/>
        <w:rPr/>
      </w:pPr>
      <w:r w:rsidDel="00000000" w:rsidR="00000000" w:rsidRPr="00000000">
        <w:rPr>
          <w:rtl w:val="0"/>
        </w:rPr>
        <w:t xml:space="preserve">Program Differentiators</w:t>
      </w:r>
    </w:p>
    <w:p w:rsidR="00000000" w:rsidDel="00000000" w:rsidP="00000000" w:rsidRDefault="00000000" w:rsidRPr="00000000" w14:paraId="0000009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Deep focus on legal frameworks and regulatory compliance rather than technical calculations</w:t>
      </w:r>
    </w:p>
    <w:p w:rsidR="00000000" w:rsidDel="00000000" w:rsidP="00000000" w:rsidRDefault="00000000" w:rsidRPr="00000000" w14:paraId="0000009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India-EU jurisdictional expertise with practical cross-border compliance strategies</w:t>
      </w:r>
    </w:p>
    <w:p w:rsidR="00000000" w:rsidDel="00000000" w:rsidP="00000000" w:rsidRDefault="00000000" w:rsidRPr="00000000" w14:paraId="0000009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Board-level strategic perspective emphasizing governance and risk management</w:t>
      </w:r>
    </w:p>
    <w:p w:rsidR="00000000" w:rsidDel="00000000" w:rsidP="00000000" w:rsidRDefault="00000000" w:rsidRPr="00000000" w14:paraId="0000009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Audit-ready documentation systems and assurance preparation</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Real-world policy templates and implementation frameworks</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Professional credential recognized by compliance and governance communities</w:t>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decimal"/>
      <w:lvlText w:val="%1."/>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000000"/>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120" w:line="240" w:lineRule="auto"/>
      <w:ind w:left="0" w:right="0" w:firstLine="0"/>
      <w:jc w:val="left"/>
    </w:pPr>
    <w:rPr>
      <w:rFonts w:ascii="Arial" w:cs="Arial" w:eastAsia="Arial" w:hAnsi="Arial"/>
      <w:b w:val="1"/>
      <w:bCs w:val="1"/>
      <w:i w:val="0"/>
      <w:iCs w:val="0"/>
      <w:smallCaps w:val="0"/>
      <w:strike w:val="0"/>
      <w:color w:val="000000"/>
      <w:sz w:val="26"/>
      <w:szCs w:val="26"/>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4"/>
      <w:szCs w:val="24"/>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4"/>
      <w:szCs w:val="24"/>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rPr>
      <w:sz w:val="20"/>
      <w:szCs w:val="20"/>
    </w:rPr>
  </w:style>
  <w:style w:type="character" w:styleId="FootnoteTextChar" w:customStyle="1">
    <w:name w:val="Footnote Text Char"/>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bSrJduM9Nvh4eTIw8EzIoclvCw==">CgMxLjAaHQoBMBIYChYIB0ISEhBBcmlhbCBVbmljb2RlIE1TOAByITFnSmcyb1FScEw0Y2JwQ2pJQTk1QU5qZ2tzV0FsakJoeQ==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2026-02-13T09:37:00Z</dcterms:created>
  <dc:creator>Un-named</dc:creator>
</cp:coreProperties>
</file>